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3FB42" w14:textId="77777777" w:rsidR="006949F0" w:rsidRPr="00F92089" w:rsidRDefault="006949F0" w:rsidP="002E21CA">
      <w:pPr>
        <w:shd w:val="clear" w:color="auto" w:fill="C2D69B"/>
        <w:spacing w:line="249" w:lineRule="exact"/>
        <w:rPr>
          <w:rFonts w:ascii="Arial" w:eastAsia="Arial" w:hAnsi="Arial" w:cs="Arial"/>
          <w:b/>
          <w:sz w:val="20"/>
          <w:szCs w:val="20"/>
        </w:rPr>
      </w:pPr>
      <w:r>
        <w:rPr>
          <w:rFonts w:ascii="Arial" w:eastAsia="Arial" w:hAnsi="Arial" w:cs="Arial"/>
          <w:b/>
          <w:sz w:val="20"/>
          <w:szCs w:val="20"/>
        </w:rPr>
        <w:t xml:space="preserve">Załącznik </w:t>
      </w:r>
      <w:r w:rsidR="00696B4A">
        <w:rPr>
          <w:rFonts w:ascii="Arial" w:eastAsia="Arial" w:hAnsi="Arial" w:cs="Arial"/>
          <w:b/>
          <w:sz w:val="20"/>
          <w:szCs w:val="20"/>
        </w:rPr>
        <w:t>5</w:t>
      </w:r>
      <w:r w:rsidR="00F97A72">
        <w:rPr>
          <w:rFonts w:ascii="Arial" w:eastAsia="Arial" w:hAnsi="Arial" w:cs="Arial"/>
          <w:b/>
          <w:sz w:val="20"/>
          <w:szCs w:val="20"/>
        </w:rPr>
        <w:t xml:space="preserve"> </w:t>
      </w:r>
      <w:r w:rsidR="00F97A72" w:rsidRPr="00516112">
        <w:rPr>
          <w:rFonts w:ascii="Arial" w:eastAsia="Arial" w:hAnsi="Arial" w:cs="Arial"/>
          <w:b/>
          <w:color w:val="000000"/>
          <w:sz w:val="20"/>
          <w:szCs w:val="20"/>
        </w:rPr>
        <w:t>do Wniosku o dofinansowanie w ramach FEnIKS -</w:t>
      </w:r>
      <w:r>
        <w:rPr>
          <w:rFonts w:ascii="Arial" w:eastAsia="Arial" w:hAnsi="Arial" w:cs="Arial"/>
          <w:b/>
          <w:sz w:val="20"/>
          <w:szCs w:val="20"/>
        </w:rPr>
        <w:t xml:space="preserve"> D</w:t>
      </w:r>
      <w:r w:rsidR="0081368D">
        <w:rPr>
          <w:rFonts w:ascii="Arial" w:eastAsia="Arial" w:hAnsi="Arial" w:cs="Arial"/>
          <w:b/>
          <w:sz w:val="20"/>
          <w:szCs w:val="20"/>
        </w:rPr>
        <w:t>ziałania informacyjno -</w:t>
      </w:r>
      <w:r w:rsidR="00F97A72">
        <w:rPr>
          <w:rFonts w:ascii="Arial" w:eastAsia="Arial" w:hAnsi="Arial" w:cs="Arial"/>
          <w:b/>
          <w:sz w:val="20"/>
          <w:szCs w:val="20"/>
        </w:rPr>
        <w:t xml:space="preserve"> </w:t>
      </w:r>
      <w:r w:rsidR="0081368D">
        <w:rPr>
          <w:rFonts w:ascii="Arial" w:eastAsia="Arial" w:hAnsi="Arial" w:cs="Arial"/>
          <w:b/>
          <w:sz w:val="20"/>
          <w:szCs w:val="20"/>
        </w:rPr>
        <w:t>promocyjne</w:t>
      </w:r>
    </w:p>
    <w:p w14:paraId="614ADAFB" w14:textId="77777777" w:rsidR="006949F0" w:rsidRDefault="006949F0" w:rsidP="006949F0">
      <w:pPr>
        <w:numPr>
          <w:ilvl w:val="0"/>
          <w:numId w:val="1"/>
        </w:numPr>
        <w:autoSpaceDE w:val="0"/>
        <w:autoSpaceDN w:val="0"/>
        <w:adjustRightInd w:val="0"/>
        <w:spacing w:after="6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informacyjno -  promocyjnych </w:t>
      </w:r>
    </w:p>
    <w:p w14:paraId="0FBFBE61" w14:textId="77777777" w:rsidR="006949F0" w:rsidRPr="006949F0" w:rsidRDefault="006949F0" w:rsidP="006949F0">
      <w:pPr>
        <w:autoSpaceDE w:val="0"/>
        <w:autoSpaceDN w:val="0"/>
        <w:adjustRightInd w:val="0"/>
        <w:spacing w:after="60" w:line="240" w:lineRule="auto"/>
        <w:ind w:left="495"/>
        <w:rPr>
          <w:rFonts w:ascii="Arial" w:hAnsi="Arial" w:cs="Arial"/>
          <w:b/>
          <w:color w:val="000000"/>
          <w:sz w:val="20"/>
          <w:szCs w:val="20"/>
          <w:lang w:eastAsia="pl-PL"/>
        </w:rPr>
      </w:pPr>
    </w:p>
    <w:p w14:paraId="49F757FE" w14:textId="77777777" w:rsidR="00942395" w:rsidRDefault="00942395" w:rsidP="00A52255">
      <w:pPr>
        <w:pBdr>
          <w:top w:val="single" w:sz="4" w:space="1" w:color="auto"/>
          <w:left w:val="single" w:sz="4" w:space="4" w:color="auto"/>
          <w:bottom w:val="single" w:sz="4" w:space="1" w:color="auto"/>
          <w:right w:val="single" w:sz="4" w:space="4" w:color="auto"/>
        </w:pBdr>
        <w:spacing w:after="60" w:line="360" w:lineRule="auto"/>
        <w:jc w:val="both"/>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30F7936D" w14:textId="77777777" w:rsidR="006949F0" w:rsidRPr="001E1A62" w:rsidRDefault="006949F0" w:rsidP="002E21CA">
      <w:pPr>
        <w:spacing w:after="60" w:line="360" w:lineRule="auto"/>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Podręczniku wnioskodawcy i beneficjenta Funduszy Europejskich na lata 2021-2027 w zakresie informacji i promocji</w:t>
      </w:r>
      <w:r w:rsidR="00670F66" w:rsidRPr="001E1A62">
        <w:rPr>
          <w:rFonts w:ascii="Arial" w:hAnsi="Arial" w:cs="Arial"/>
          <w:sz w:val="20"/>
          <w:szCs w:val="20"/>
        </w:rPr>
        <w:t xml:space="preserve"> </w:t>
      </w:r>
      <w:r w:rsidRPr="001E1A62">
        <w:rPr>
          <w:rFonts w:ascii="Arial" w:hAnsi="Arial" w:cs="Arial"/>
          <w:sz w:val="20"/>
          <w:szCs w:val="20"/>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24DF8282" w14:textId="77777777" w:rsidR="00772BD8" w:rsidRPr="001E1A62" w:rsidRDefault="00772BD8" w:rsidP="00935D6B">
      <w:pPr>
        <w:pStyle w:val="Akapitzlist"/>
        <w:numPr>
          <w:ilvl w:val="0"/>
          <w:numId w:val="10"/>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oznaczanie w widoczny sposób znakiem Funduszy Europejskich, barwami Rzeczypospolitej Polskiej (jeśli dotyczy; wersja </w:t>
      </w:r>
      <w:proofErr w:type="spellStart"/>
      <w:r w:rsidRPr="001E1A62">
        <w:rPr>
          <w:rFonts w:ascii="Arial" w:hAnsi="Arial" w:cs="Arial"/>
          <w:sz w:val="20"/>
          <w:szCs w:val="20"/>
        </w:rPr>
        <w:t>pełnokolorowa</w:t>
      </w:r>
      <w:proofErr w:type="spellEnd"/>
      <w:r w:rsidRPr="001E1A62">
        <w:rPr>
          <w:rFonts w:ascii="Arial" w:hAnsi="Arial" w:cs="Arial"/>
          <w:sz w:val="20"/>
          <w:szCs w:val="20"/>
        </w:rPr>
        <w:t>) i znakiem Unii Europejskiej:</w:t>
      </w:r>
    </w:p>
    <w:p w14:paraId="2D9E7AC3" w14:textId="77777777" w:rsidR="00772BD8" w:rsidRPr="001E1A62" w:rsidRDefault="00772BD8" w:rsidP="00935D6B">
      <w:pPr>
        <w:pStyle w:val="Akapitzlist"/>
        <w:numPr>
          <w:ilvl w:val="0"/>
          <w:numId w:val="11"/>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prowadzonych działań informacyjnych i promocyjnych dotyczących Projektu,</w:t>
      </w:r>
    </w:p>
    <w:p w14:paraId="33D853E5" w14:textId="77777777" w:rsidR="00772BD8" w:rsidRPr="001E1A62" w:rsidRDefault="00772BD8" w:rsidP="00935D6B">
      <w:pPr>
        <w:pStyle w:val="Akapitzlist"/>
        <w:numPr>
          <w:ilvl w:val="0"/>
          <w:numId w:val="11"/>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(m.in. produkty drukowane lub cyfrowe, strony internetowe i ich mobilne wersje, media społecznościowe) podawanych do wiadomości publicznej,</w:t>
      </w:r>
    </w:p>
    <w:p w14:paraId="0D1755DB" w14:textId="77777777" w:rsidR="00772BD8" w:rsidRPr="001E1A62" w:rsidRDefault="00772BD8" w:rsidP="00935D6B">
      <w:pPr>
        <w:pStyle w:val="Akapitzlist"/>
        <w:numPr>
          <w:ilvl w:val="0"/>
          <w:numId w:val="11"/>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dla osób i podmiotów uczestniczących w Projekcie,</w:t>
      </w:r>
    </w:p>
    <w:p w14:paraId="534567FB" w14:textId="77777777" w:rsidR="00772BD8" w:rsidRPr="001E1A62" w:rsidRDefault="00772BD8" w:rsidP="00935D6B">
      <w:pPr>
        <w:pStyle w:val="Akapitzlist"/>
        <w:numPr>
          <w:ilvl w:val="0"/>
          <w:numId w:val="11"/>
        </w:numPr>
        <w:spacing w:after="60" w:line="360" w:lineRule="auto"/>
        <w:ind w:left="696" w:hanging="357"/>
        <w:contextualSpacing w:val="0"/>
        <w:rPr>
          <w:rFonts w:ascii="Arial" w:hAnsi="Arial" w:cs="Arial"/>
          <w:sz w:val="20"/>
          <w:szCs w:val="20"/>
        </w:rPr>
      </w:pPr>
      <w:r w:rsidRPr="001E1A62">
        <w:rPr>
          <w:rFonts w:ascii="Arial" w:hAnsi="Arial" w:cs="Arial"/>
          <w:sz w:val="20"/>
          <w:szCs w:val="20"/>
        </w:rPr>
        <w:t>produktów, sprzętu, pojazdów, aparatury itp. powstałych lub zakupionych z Projektu, poprzez umieszczenie trwałego oznakowania w postaci trwałych naklejek,</w:t>
      </w:r>
    </w:p>
    <w:p w14:paraId="28B2F595" w14:textId="77777777" w:rsidR="00772BD8" w:rsidRPr="001E1A62" w:rsidRDefault="00772BD8" w:rsidP="00935D6B">
      <w:pPr>
        <w:pStyle w:val="Akapitzlist"/>
        <w:numPr>
          <w:ilvl w:val="0"/>
          <w:numId w:val="10"/>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w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r w:rsidR="00FA34D6" w:rsidRPr="001E1A62">
          <w:rPr>
            <w:rStyle w:val="Hipercze"/>
            <w:rFonts w:ascii="Arial" w:hAnsi="Arial" w:cs="Arial"/>
            <w:color w:val="auto"/>
            <w:sz w:val="20"/>
            <w:szCs w:val="20"/>
          </w:rPr>
          <w:t>FEnIKS</w:t>
        </w:r>
      </w:hyperlink>
      <w:r w:rsidR="00F87F83" w:rsidRPr="001E1A62">
        <w:rPr>
          <w:rFonts w:ascii="Arial" w:hAnsi="Arial" w:cs="Arial"/>
          <w:sz w:val="20"/>
          <w:szCs w:val="20"/>
        </w:rPr>
        <w:t>.</w:t>
      </w:r>
    </w:p>
    <w:p w14:paraId="74841018" w14:textId="77777777" w:rsidR="00772BD8" w:rsidRPr="001E1A62" w:rsidRDefault="00772BD8" w:rsidP="00935D6B">
      <w:pPr>
        <w:pStyle w:val="Akapitzlist"/>
        <w:numPr>
          <w:ilvl w:val="0"/>
          <w:numId w:val="10"/>
        </w:numPr>
        <w:spacing w:after="60" w:line="360" w:lineRule="auto"/>
        <w:ind w:left="360" w:hanging="357"/>
        <w:contextualSpacing w:val="0"/>
        <w:rPr>
          <w:rFonts w:ascii="Arial" w:hAnsi="Arial" w:cs="Arial"/>
          <w:sz w:val="20"/>
          <w:szCs w:val="20"/>
        </w:rPr>
      </w:pPr>
      <w:r w:rsidRPr="001E1A62">
        <w:rPr>
          <w:rFonts w:ascii="Arial" w:hAnsi="Arial" w:cs="Arial"/>
          <w:sz w:val="20"/>
          <w:szCs w:val="20"/>
        </w:rPr>
        <w:lastRenderedPageBreak/>
        <w:t>w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 xml:space="preserve">na portalu internetowym programu </w:t>
        </w:r>
        <w:proofErr w:type="spellStart"/>
        <w:r w:rsidR="00F87F83"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096A670D" w14:textId="77777777" w:rsidR="00772BD8" w:rsidRPr="001E1A62" w:rsidRDefault="00772BD8" w:rsidP="00C16BD2">
      <w:pPr>
        <w:pStyle w:val="Akapitzlist"/>
        <w:numPr>
          <w:ilvl w:val="0"/>
          <w:numId w:val="10"/>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Beneficjenta </w:t>
      </w:r>
      <w:r w:rsidR="00F87F83" w:rsidRPr="001E1A62">
        <w:rPr>
          <w:rFonts w:ascii="Arial" w:hAnsi="Arial" w:cs="Arial"/>
          <w:sz w:val="20"/>
          <w:szCs w:val="20"/>
        </w:rPr>
        <w:t xml:space="preserve">jeśli ją posiada </w:t>
      </w:r>
      <w:r w:rsidRPr="001E1A62">
        <w:rPr>
          <w:rFonts w:ascii="Arial" w:hAnsi="Arial" w:cs="Arial"/>
          <w:sz w:val="20"/>
          <w:szCs w:val="20"/>
        </w:rPr>
        <w:t>lub na jego stronach mediów społecznościowych,</w:t>
      </w:r>
    </w:p>
    <w:p w14:paraId="52001ACA" w14:textId="77777777" w:rsidR="00772BD8" w:rsidRPr="001E1A62" w:rsidRDefault="005905D2" w:rsidP="00C16BD2">
      <w:pPr>
        <w:pStyle w:val="Akapitzlist"/>
        <w:numPr>
          <w:ilvl w:val="0"/>
          <w:numId w:val="10"/>
        </w:numPr>
        <w:spacing w:after="60" w:line="360" w:lineRule="auto"/>
        <w:ind w:left="360" w:hanging="357"/>
        <w:contextualSpacing w:val="0"/>
        <w:rPr>
          <w:rFonts w:ascii="Arial" w:hAnsi="Arial" w:cs="Arial"/>
          <w:strike/>
          <w:sz w:val="20"/>
          <w:szCs w:val="20"/>
        </w:rPr>
      </w:pPr>
      <w:r w:rsidRPr="001E1A62">
        <w:rPr>
          <w:rFonts w:ascii="Arial" w:hAnsi="Arial" w:cs="Arial"/>
          <w:sz w:val="20"/>
          <w:szCs w:val="20"/>
        </w:rPr>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691092A5" w14:textId="77777777" w:rsidR="00772BD8" w:rsidRPr="001E1A62" w:rsidRDefault="00772BD8" w:rsidP="00C16BD2">
      <w:pPr>
        <w:pStyle w:val="Akapitzlist"/>
        <w:numPr>
          <w:ilvl w:val="0"/>
          <w:numId w:val="10"/>
        </w:numPr>
        <w:spacing w:after="60" w:line="360" w:lineRule="auto"/>
        <w:ind w:left="360" w:hanging="357"/>
        <w:contextualSpacing w:val="0"/>
        <w:rPr>
          <w:rFonts w:ascii="Arial" w:hAnsi="Arial" w:cs="Arial"/>
          <w:sz w:val="20"/>
          <w:szCs w:val="20"/>
        </w:rPr>
      </w:pPr>
      <w:r w:rsidRPr="001E1A62">
        <w:rPr>
          <w:rFonts w:ascii="Arial" w:hAnsi="Arial" w:cs="Arial"/>
          <w:sz w:val="20"/>
          <w:szCs w:val="20"/>
        </w:rPr>
        <w:t>dokumentowania działań informacyjnych i promocyjnych prowadzonych w ramach Projektu.</w:t>
      </w:r>
    </w:p>
    <w:p w14:paraId="3BD6A6EC" w14:textId="77777777" w:rsidR="00AB632C" w:rsidRPr="001E1A62" w:rsidRDefault="006949F0" w:rsidP="002E21CA">
      <w:pPr>
        <w:spacing w:after="60" w:line="360" w:lineRule="auto"/>
        <w:rPr>
          <w:rFonts w:ascii="Arial" w:hAnsi="Arial" w:cs="Arial"/>
          <w:sz w:val="20"/>
          <w:szCs w:val="20"/>
        </w:rPr>
      </w:pPr>
      <w:r w:rsidRPr="001E1A62">
        <w:rPr>
          <w:rFonts w:ascii="Arial" w:hAnsi="Arial" w:cs="Arial"/>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34CE838D" w14:textId="77777777" w:rsidR="006949F0" w:rsidRPr="001E1A62" w:rsidRDefault="006949F0" w:rsidP="002E21CA">
      <w:pPr>
        <w:spacing w:after="60" w:line="360" w:lineRule="auto"/>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71998D90" w14:textId="77777777" w:rsidR="00233CCD" w:rsidRPr="001E1A62" w:rsidRDefault="00233CCD" w:rsidP="002E21CA">
      <w:pPr>
        <w:spacing w:after="60" w:line="360" w:lineRule="auto"/>
        <w:rPr>
          <w:rFonts w:ascii="Arial" w:hAnsi="Arial" w:cs="Arial"/>
          <w:sz w:val="20"/>
          <w:szCs w:val="20"/>
        </w:rPr>
      </w:pPr>
    </w:p>
    <w:p w14:paraId="2AD8C93F" w14:textId="77777777" w:rsidR="00233CCD" w:rsidRPr="001E1A62" w:rsidRDefault="00233CCD" w:rsidP="002E21CA">
      <w:pPr>
        <w:spacing w:after="60" w:line="360" w:lineRule="auto"/>
        <w:rPr>
          <w:rFonts w:ascii="Arial" w:hAnsi="Arial" w:cs="Arial"/>
          <w:sz w:val="20"/>
          <w:szCs w:val="20"/>
        </w:rPr>
      </w:pPr>
    </w:p>
    <w:p w14:paraId="59AD3A25" w14:textId="77777777" w:rsidR="00233CCD" w:rsidRDefault="00233CCD" w:rsidP="002E21CA">
      <w:pPr>
        <w:spacing w:after="60" w:line="360" w:lineRule="auto"/>
        <w:rPr>
          <w:rFonts w:ascii="Arial" w:hAnsi="Arial" w:cs="Arial"/>
          <w:sz w:val="20"/>
          <w:szCs w:val="20"/>
        </w:rPr>
      </w:pPr>
    </w:p>
    <w:p w14:paraId="659C897C" w14:textId="77777777" w:rsidR="002E21CA" w:rsidRDefault="002E21CA" w:rsidP="002E21CA">
      <w:pPr>
        <w:spacing w:after="60" w:line="360" w:lineRule="auto"/>
        <w:rPr>
          <w:rFonts w:ascii="Arial" w:hAnsi="Arial" w:cs="Arial"/>
          <w:sz w:val="20"/>
          <w:szCs w:val="20"/>
        </w:rPr>
      </w:pPr>
    </w:p>
    <w:p w14:paraId="41535767" w14:textId="77777777" w:rsidR="00233CCD" w:rsidRDefault="00233CCD" w:rsidP="002E21CA">
      <w:pPr>
        <w:spacing w:after="60" w:line="360" w:lineRule="auto"/>
        <w:rPr>
          <w:rFonts w:ascii="Arial" w:hAnsi="Arial" w:cs="Arial"/>
          <w:sz w:val="20"/>
          <w:szCs w:val="20"/>
        </w:rPr>
      </w:pPr>
    </w:p>
    <w:p w14:paraId="354CDFD6" w14:textId="77777777" w:rsidR="00233CCD" w:rsidRDefault="00233CCD" w:rsidP="002E21CA">
      <w:pPr>
        <w:spacing w:after="60" w:line="360" w:lineRule="auto"/>
        <w:rPr>
          <w:rFonts w:ascii="Arial" w:hAnsi="Arial" w:cs="Arial"/>
          <w:sz w:val="20"/>
          <w:szCs w:val="20"/>
        </w:rPr>
      </w:pPr>
    </w:p>
    <w:p w14:paraId="6133F147" w14:textId="77777777" w:rsidR="00233CCD" w:rsidRDefault="00233CCD" w:rsidP="006949F0">
      <w:pPr>
        <w:spacing w:after="60" w:line="360" w:lineRule="auto"/>
        <w:jc w:val="both"/>
        <w:rPr>
          <w:rFonts w:ascii="Arial" w:hAnsi="Arial" w:cs="Arial"/>
          <w:sz w:val="20"/>
          <w:szCs w:val="20"/>
        </w:rPr>
      </w:pPr>
    </w:p>
    <w:p w14:paraId="20BC1726"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BF" w:firstRow="1" w:lastRow="0" w:firstColumn="1" w:lastColumn="0" w:noHBand="0" w:noVBand="0"/>
      </w:tblPr>
      <w:tblGrid>
        <w:gridCol w:w="2205"/>
        <w:gridCol w:w="930"/>
        <w:gridCol w:w="1740"/>
        <w:gridCol w:w="2220"/>
        <w:gridCol w:w="2655"/>
      </w:tblGrid>
      <w:tr w:rsidR="006949F0" w14:paraId="5A126A5B" w14:textId="77777777" w:rsidTr="006949F0">
        <w:tc>
          <w:tcPr>
            <w:tcW w:w="2205" w:type="dxa"/>
            <w:vMerge w:val="restart"/>
            <w:shd w:val="clear" w:color="auto" w:fill="E0FFDF"/>
            <w:vAlign w:val="center"/>
          </w:tcPr>
          <w:p w14:paraId="6AD0C4EC"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661F93CF"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647652A0"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2655" w:type="dxa"/>
            <w:vMerge w:val="restart"/>
            <w:shd w:val="clear" w:color="auto" w:fill="E0FFDF"/>
            <w:vAlign w:val="center"/>
          </w:tcPr>
          <w:p w14:paraId="2A4CA994"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73F60EBF" w14:textId="77777777" w:rsidTr="006949F0">
        <w:tc>
          <w:tcPr>
            <w:tcW w:w="2205" w:type="dxa"/>
            <w:vMerge/>
            <w:shd w:val="clear" w:color="auto" w:fill="E0FFDF"/>
            <w:vAlign w:val="center"/>
          </w:tcPr>
          <w:p w14:paraId="0F870BDD" w14:textId="77777777" w:rsidR="006949F0" w:rsidRDefault="006949F0" w:rsidP="009E26B0">
            <w:pPr>
              <w:autoSpaceDE w:val="0"/>
              <w:autoSpaceDN w:val="0"/>
              <w:adjustRightInd w:val="0"/>
              <w:spacing w:after="0" w:line="240" w:lineRule="auto"/>
              <w:rPr>
                <w:rFonts w:ascii="Arial" w:hAnsi="Arial" w:cs="Arial"/>
                <w:b/>
                <w:bCs/>
                <w:color w:val="000000"/>
                <w:sz w:val="20"/>
                <w:szCs w:val="20"/>
                <w:lang w:eastAsia="pl-PL"/>
              </w:rPr>
            </w:pPr>
          </w:p>
        </w:tc>
        <w:tc>
          <w:tcPr>
            <w:tcW w:w="930" w:type="dxa"/>
            <w:shd w:val="clear" w:color="auto" w:fill="E0FFDF"/>
            <w:vAlign w:val="center"/>
          </w:tcPr>
          <w:p w14:paraId="4ADED8DA"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netto</w:t>
            </w:r>
          </w:p>
        </w:tc>
        <w:tc>
          <w:tcPr>
            <w:tcW w:w="1740" w:type="dxa"/>
            <w:shd w:val="clear" w:color="auto" w:fill="E0FFDF"/>
            <w:vAlign w:val="center"/>
          </w:tcPr>
          <w:p w14:paraId="62320C8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brutto</w:t>
            </w:r>
          </w:p>
        </w:tc>
        <w:tc>
          <w:tcPr>
            <w:tcW w:w="2220" w:type="dxa"/>
            <w:vMerge/>
            <w:shd w:val="clear" w:color="auto" w:fill="E0FFDF"/>
            <w:vAlign w:val="center"/>
          </w:tcPr>
          <w:p w14:paraId="3518192C"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c>
          <w:tcPr>
            <w:tcW w:w="2655" w:type="dxa"/>
            <w:vMerge/>
            <w:shd w:val="clear" w:color="auto" w:fill="E0FFDF"/>
            <w:vAlign w:val="center"/>
          </w:tcPr>
          <w:p w14:paraId="788A7D4E"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r>
      <w:tr w:rsidR="006949F0" w14:paraId="43AB8AB4" w14:textId="77777777" w:rsidTr="006949F0">
        <w:tc>
          <w:tcPr>
            <w:tcW w:w="2205" w:type="dxa"/>
          </w:tcPr>
          <w:p w14:paraId="41A0A78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1. Działanie 1</w:t>
            </w:r>
          </w:p>
        </w:tc>
        <w:tc>
          <w:tcPr>
            <w:tcW w:w="930" w:type="dxa"/>
          </w:tcPr>
          <w:p w14:paraId="4B46CBEA"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7609B7D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6DDF435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292676E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0574E59E" w14:textId="77777777" w:rsidTr="006949F0">
        <w:tc>
          <w:tcPr>
            <w:tcW w:w="2205" w:type="dxa"/>
          </w:tcPr>
          <w:p w14:paraId="26F4E3A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1BCD288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289772E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551F7E1A"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34358D2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8AFE086" w14:textId="77777777" w:rsidTr="006949F0">
        <w:tc>
          <w:tcPr>
            <w:tcW w:w="2205" w:type="dxa"/>
          </w:tcPr>
          <w:p w14:paraId="709986B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4CD1C35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263ED41E"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535C46A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160E967C"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570E80AB" w14:textId="77777777" w:rsidTr="006949F0">
        <w:tc>
          <w:tcPr>
            <w:tcW w:w="2205" w:type="dxa"/>
          </w:tcPr>
          <w:p w14:paraId="1E45477A"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62D3E22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75978293"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50793923"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591D7BE"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2AE7956" w14:textId="77777777" w:rsidTr="006949F0">
        <w:tc>
          <w:tcPr>
            <w:tcW w:w="2205" w:type="dxa"/>
          </w:tcPr>
          <w:p w14:paraId="626B087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3F31CAF3"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7443ABC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shd w:val="clear" w:color="auto" w:fill="A2A2A2"/>
          </w:tcPr>
          <w:p w14:paraId="632314BD"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655" w:type="dxa"/>
            <w:shd w:val="clear" w:color="auto" w:fill="A2A2A2"/>
          </w:tcPr>
          <w:p w14:paraId="53DF904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r>
    </w:tbl>
    <w:p w14:paraId="3A71C304"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p>
    <w:p w14:paraId="39534413"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7"/>
        <w:gridCol w:w="1404"/>
        <w:gridCol w:w="6174"/>
      </w:tblGrid>
      <w:tr w:rsidR="006949F0" w:rsidRPr="00211ED7" w14:paraId="40F24F60" w14:textId="77777777" w:rsidTr="006949F0">
        <w:trPr>
          <w:tblHeader/>
        </w:trPr>
        <w:tc>
          <w:tcPr>
            <w:tcW w:w="1607" w:type="dxa"/>
            <w:shd w:val="clear" w:color="auto" w:fill="auto"/>
          </w:tcPr>
          <w:p w14:paraId="4A675BA7"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Nazwa pola</w:t>
            </w:r>
          </w:p>
        </w:tc>
        <w:tc>
          <w:tcPr>
            <w:tcW w:w="1404" w:type="dxa"/>
            <w:shd w:val="clear" w:color="auto" w:fill="auto"/>
          </w:tcPr>
          <w:p w14:paraId="7A33EBD5"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Rodzaj pola</w:t>
            </w:r>
          </w:p>
        </w:tc>
        <w:tc>
          <w:tcPr>
            <w:tcW w:w="6174" w:type="dxa"/>
            <w:shd w:val="clear" w:color="auto" w:fill="auto"/>
          </w:tcPr>
          <w:p w14:paraId="34EB463D"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4BB11BBE" w14:textId="77777777" w:rsidTr="006949F0">
        <w:trPr>
          <w:trHeight w:val="1371"/>
        </w:trPr>
        <w:tc>
          <w:tcPr>
            <w:tcW w:w="1607" w:type="dxa"/>
            <w:shd w:val="clear" w:color="auto" w:fill="auto"/>
          </w:tcPr>
          <w:p w14:paraId="2ADBFF13" w14:textId="77777777" w:rsidR="006949F0" w:rsidRPr="00211ED7" w:rsidRDefault="006949F0" w:rsidP="009E26B0">
            <w:pPr>
              <w:rPr>
                <w:rFonts w:ascii="Arial" w:hAnsi="Arial" w:cs="Arial"/>
                <w:sz w:val="18"/>
                <w:szCs w:val="18"/>
              </w:rPr>
            </w:pPr>
            <w:r>
              <w:rPr>
                <w:rFonts w:ascii="Arial" w:hAnsi="Arial" w:cs="Arial"/>
                <w:sz w:val="18"/>
                <w:szCs w:val="18"/>
              </w:rPr>
              <w:t>Działanie 1</w:t>
            </w:r>
          </w:p>
        </w:tc>
        <w:tc>
          <w:tcPr>
            <w:tcW w:w="1404" w:type="dxa"/>
            <w:shd w:val="clear" w:color="auto" w:fill="auto"/>
          </w:tcPr>
          <w:p w14:paraId="54D556A4" w14:textId="77777777" w:rsidR="006949F0" w:rsidRPr="00211ED7" w:rsidRDefault="006949F0" w:rsidP="009E26B0">
            <w:pPr>
              <w:rPr>
                <w:rFonts w:ascii="Arial" w:hAnsi="Arial" w:cs="Arial"/>
                <w:sz w:val="18"/>
                <w:szCs w:val="18"/>
              </w:rPr>
            </w:pPr>
            <w:r>
              <w:rPr>
                <w:rFonts w:ascii="Arial" w:hAnsi="Arial" w:cs="Arial"/>
                <w:sz w:val="18"/>
                <w:szCs w:val="18"/>
              </w:rPr>
              <w:t>tekstowe</w:t>
            </w:r>
          </w:p>
        </w:tc>
        <w:tc>
          <w:tcPr>
            <w:tcW w:w="6174" w:type="dxa"/>
            <w:shd w:val="clear" w:color="auto" w:fill="auto"/>
          </w:tcPr>
          <w:p w14:paraId="1769AA25" w14:textId="77777777" w:rsidR="006949F0" w:rsidRPr="00211ED7" w:rsidRDefault="006949F0" w:rsidP="00B03328">
            <w:pPr>
              <w:keepNext/>
              <w:keepLines/>
              <w:autoSpaceDE w:val="0"/>
              <w:autoSpaceDN w:val="0"/>
              <w:adjustRightInd w:val="0"/>
              <w:spacing w:before="120" w:after="0" w:line="240" w:lineRule="auto"/>
              <w:rPr>
                <w:rFonts w:ascii="Arial" w:hAnsi="Arial" w:cs="Arial"/>
                <w:sz w:val="18"/>
                <w:szCs w:val="18"/>
              </w:rPr>
            </w:pPr>
            <w:r w:rsidRPr="008D3474">
              <w:rPr>
                <w:rFonts w:ascii="Arial" w:hAnsi="Arial"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0301C9CF" w14:textId="77777777" w:rsidTr="006949F0">
        <w:tc>
          <w:tcPr>
            <w:tcW w:w="1607" w:type="dxa"/>
            <w:shd w:val="clear" w:color="auto" w:fill="auto"/>
          </w:tcPr>
          <w:p w14:paraId="64821ABE" w14:textId="77777777" w:rsidR="006949F0" w:rsidRPr="00211ED7" w:rsidRDefault="006949F0" w:rsidP="009E26B0">
            <w:pPr>
              <w:rPr>
                <w:rFonts w:ascii="Arial" w:hAnsi="Arial" w:cs="Arial"/>
                <w:sz w:val="18"/>
                <w:szCs w:val="18"/>
              </w:rPr>
            </w:pPr>
            <w:r>
              <w:rPr>
                <w:rFonts w:ascii="Arial" w:hAnsi="Arial" w:cs="Arial"/>
                <w:sz w:val="18"/>
                <w:szCs w:val="18"/>
              </w:rPr>
              <w:t>Budżet netto/brutto</w:t>
            </w:r>
          </w:p>
        </w:tc>
        <w:tc>
          <w:tcPr>
            <w:tcW w:w="1404" w:type="dxa"/>
            <w:shd w:val="clear" w:color="auto" w:fill="auto"/>
          </w:tcPr>
          <w:p w14:paraId="6E48D93E" w14:textId="77777777" w:rsidR="006949F0" w:rsidRPr="00211ED7" w:rsidRDefault="006949F0" w:rsidP="009E26B0">
            <w:pPr>
              <w:rPr>
                <w:rFonts w:ascii="Arial" w:hAnsi="Arial" w:cs="Arial"/>
                <w:sz w:val="18"/>
                <w:szCs w:val="18"/>
              </w:rPr>
            </w:pPr>
            <w:r w:rsidRPr="00211ED7">
              <w:rPr>
                <w:rFonts w:ascii="Arial" w:hAnsi="Arial" w:cs="Arial"/>
                <w:sz w:val="18"/>
                <w:szCs w:val="18"/>
              </w:rPr>
              <w:t>liczba (2 miejsca po przecinku)</w:t>
            </w:r>
          </w:p>
        </w:tc>
        <w:tc>
          <w:tcPr>
            <w:tcW w:w="6174" w:type="dxa"/>
            <w:shd w:val="clear" w:color="auto" w:fill="auto"/>
          </w:tcPr>
          <w:p w14:paraId="7BC300C7" w14:textId="77777777" w:rsidR="006949F0" w:rsidRPr="00211ED7" w:rsidRDefault="006949F0" w:rsidP="009E26B0">
            <w:pPr>
              <w:jc w:val="both"/>
              <w:rPr>
                <w:rFonts w:ascii="Arial" w:hAnsi="Arial" w:cs="Arial"/>
                <w:sz w:val="18"/>
                <w:szCs w:val="18"/>
              </w:rPr>
            </w:pPr>
            <w:r>
              <w:rPr>
                <w:rFonts w:ascii="Arial" w:hAnsi="Arial" w:cs="Arial"/>
                <w:sz w:val="18"/>
                <w:szCs w:val="18"/>
              </w:rPr>
              <w:t>kwota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4DC252F3" w14:textId="77777777" w:rsidTr="006949F0">
        <w:tc>
          <w:tcPr>
            <w:tcW w:w="1607" w:type="dxa"/>
            <w:shd w:val="clear" w:color="auto" w:fill="auto"/>
          </w:tcPr>
          <w:p w14:paraId="76A7B2E2" w14:textId="77777777" w:rsidR="006949F0" w:rsidRDefault="006949F0" w:rsidP="009E26B0">
            <w:pPr>
              <w:rPr>
                <w:rFonts w:ascii="Arial" w:hAnsi="Arial" w:cs="Arial"/>
                <w:sz w:val="18"/>
                <w:szCs w:val="18"/>
              </w:rPr>
            </w:pPr>
            <w:r>
              <w:rPr>
                <w:rFonts w:ascii="Arial" w:hAnsi="Arial" w:cs="Arial"/>
                <w:sz w:val="18"/>
                <w:szCs w:val="18"/>
              </w:rPr>
              <w:t>Termin rozpoczęcia</w:t>
            </w:r>
          </w:p>
        </w:tc>
        <w:tc>
          <w:tcPr>
            <w:tcW w:w="1404" w:type="dxa"/>
            <w:shd w:val="clear" w:color="auto" w:fill="auto"/>
          </w:tcPr>
          <w:p w14:paraId="1A867A26" w14:textId="77777777" w:rsidR="006949F0" w:rsidRPr="00211ED7" w:rsidRDefault="006949F0" w:rsidP="009E26B0">
            <w:pPr>
              <w:rPr>
                <w:rFonts w:ascii="Arial" w:hAnsi="Arial" w:cs="Arial"/>
                <w:sz w:val="18"/>
                <w:szCs w:val="18"/>
              </w:rPr>
            </w:pPr>
            <w:r>
              <w:rPr>
                <w:rFonts w:ascii="Arial" w:hAnsi="Arial" w:cs="Arial"/>
                <w:sz w:val="18"/>
                <w:szCs w:val="18"/>
              </w:rPr>
              <w:t>Data</w:t>
            </w:r>
          </w:p>
        </w:tc>
        <w:tc>
          <w:tcPr>
            <w:tcW w:w="6174" w:type="dxa"/>
            <w:shd w:val="clear" w:color="auto" w:fill="auto"/>
          </w:tcPr>
          <w:p w14:paraId="3408B988"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podpisania umowy</w:t>
            </w:r>
          </w:p>
        </w:tc>
      </w:tr>
      <w:tr w:rsidR="006949F0" w:rsidRPr="00211ED7" w14:paraId="46F259EE" w14:textId="77777777" w:rsidTr="006949F0">
        <w:tc>
          <w:tcPr>
            <w:tcW w:w="1607" w:type="dxa"/>
            <w:shd w:val="clear" w:color="auto" w:fill="auto"/>
          </w:tcPr>
          <w:p w14:paraId="32F50520" w14:textId="77777777" w:rsidR="006949F0" w:rsidRDefault="006949F0" w:rsidP="009E26B0">
            <w:pPr>
              <w:rPr>
                <w:rFonts w:ascii="Arial" w:hAnsi="Arial" w:cs="Arial"/>
                <w:sz w:val="18"/>
                <w:szCs w:val="18"/>
              </w:rPr>
            </w:pPr>
            <w:r>
              <w:rPr>
                <w:rFonts w:ascii="Arial" w:hAnsi="Arial" w:cs="Arial"/>
                <w:sz w:val="18"/>
                <w:szCs w:val="18"/>
              </w:rPr>
              <w:t>Termin ukończenia</w:t>
            </w:r>
          </w:p>
        </w:tc>
        <w:tc>
          <w:tcPr>
            <w:tcW w:w="1404" w:type="dxa"/>
            <w:shd w:val="clear" w:color="auto" w:fill="auto"/>
          </w:tcPr>
          <w:p w14:paraId="7CD27616" w14:textId="77777777" w:rsidR="006949F0" w:rsidRPr="00211ED7" w:rsidRDefault="006949F0" w:rsidP="009E26B0">
            <w:pPr>
              <w:rPr>
                <w:rFonts w:ascii="Arial" w:hAnsi="Arial" w:cs="Arial"/>
                <w:sz w:val="18"/>
                <w:szCs w:val="18"/>
              </w:rPr>
            </w:pPr>
            <w:r>
              <w:rPr>
                <w:rFonts w:ascii="Arial" w:hAnsi="Arial" w:cs="Arial"/>
                <w:sz w:val="18"/>
                <w:szCs w:val="18"/>
              </w:rPr>
              <w:t xml:space="preserve">Data </w:t>
            </w:r>
          </w:p>
        </w:tc>
        <w:tc>
          <w:tcPr>
            <w:tcW w:w="6174" w:type="dxa"/>
            <w:shd w:val="clear" w:color="auto" w:fill="auto"/>
          </w:tcPr>
          <w:p w14:paraId="3109258D"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płatności</w:t>
            </w:r>
          </w:p>
        </w:tc>
      </w:tr>
    </w:tbl>
    <w:p w14:paraId="5A70D2C8"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BF" w:firstRow="1" w:lastRow="0" w:firstColumn="1" w:lastColumn="0" w:noHBand="0" w:noVBand="0"/>
      </w:tblPr>
      <w:tblGrid>
        <w:gridCol w:w="2667"/>
        <w:gridCol w:w="1556"/>
        <w:gridCol w:w="2756"/>
        <w:gridCol w:w="2123"/>
      </w:tblGrid>
      <w:tr w:rsidR="006949F0" w14:paraId="1BFEF06F" w14:textId="77777777" w:rsidTr="009E26B0">
        <w:tc>
          <w:tcPr>
            <w:tcW w:w="1465" w:type="pct"/>
            <w:shd w:val="clear" w:color="auto" w:fill="E0FFDF"/>
            <w:vAlign w:val="center"/>
          </w:tcPr>
          <w:p w14:paraId="35531BE6"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506206D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4" w:type="pct"/>
            <w:shd w:val="clear" w:color="auto" w:fill="E0FFDF"/>
            <w:vAlign w:val="center"/>
          </w:tcPr>
          <w:p w14:paraId="5BAD6076"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6" w:type="pct"/>
            <w:shd w:val="clear" w:color="auto" w:fill="E0FFDF"/>
            <w:vAlign w:val="center"/>
          </w:tcPr>
          <w:p w14:paraId="255A8076"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517542E2" w14:textId="77777777" w:rsidTr="009E26B0">
        <w:tc>
          <w:tcPr>
            <w:tcW w:w="1465" w:type="pct"/>
            <w:vAlign w:val="bottom"/>
          </w:tcPr>
          <w:p w14:paraId="1E5A8354"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116CFF6A"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1D8F4D71"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1D9AA9EA"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r w:rsidR="006949F0" w14:paraId="5EFD0615" w14:textId="77777777" w:rsidTr="009E26B0">
        <w:tc>
          <w:tcPr>
            <w:tcW w:w="1465" w:type="pct"/>
            <w:vAlign w:val="bottom"/>
          </w:tcPr>
          <w:p w14:paraId="1A93BFE1"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3134E42B"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55221FC2"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19294306"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bl>
    <w:p w14:paraId="2BDF49B8" w14:textId="77777777" w:rsidR="00233CCD" w:rsidRDefault="00233CCD" w:rsidP="006949F0">
      <w:pPr>
        <w:autoSpaceDE w:val="0"/>
        <w:autoSpaceDN w:val="0"/>
        <w:adjustRightInd w:val="0"/>
        <w:spacing w:after="0" w:line="240" w:lineRule="auto"/>
        <w:ind w:left="495"/>
        <w:rPr>
          <w:rFonts w:ascii="Arial" w:hAnsi="Arial" w:cs="Arial"/>
          <w:color w:val="000000"/>
          <w:sz w:val="20"/>
          <w:szCs w:val="20"/>
          <w:lang w:eastAsia="pl-PL"/>
        </w:rPr>
      </w:pPr>
    </w:p>
    <w:p w14:paraId="301BD583" w14:textId="77777777" w:rsidR="006949F0" w:rsidRP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4"/>
        <w:gridCol w:w="1161"/>
        <w:gridCol w:w="6597"/>
      </w:tblGrid>
      <w:tr w:rsidR="006949F0" w:rsidRPr="00211ED7" w14:paraId="5E85B4D4" w14:textId="77777777" w:rsidTr="00772BD8">
        <w:trPr>
          <w:tblHeader/>
        </w:trPr>
        <w:tc>
          <w:tcPr>
            <w:tcW w:w="729" w:type="pct"/>
            <w:shd w:val="clear" w:color="auto" w:fill="D9D9D9"/>
          </w:tcPr>
          <w:p w14:paraId="36DAC8E0"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Nazwa pola</w:t>
            </w:r>
          </w:p>
        </w:tc>
        <w:tc>
          <w:tcPr>
            <w:tcW w:w="639" w:type="pct"/>
            <w:shd w:val="clear" w:color="auto" w:fill="D9D9D9"/>
          </w:tcPr>
          <w:p w14:paraId="0258FB64"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Rodzaj pola</w:t>
            </w:r>
          </w:p>
        </w:tc>
        <w:tc>
          <w:tcPr>
            <w:tcW w:w="3632" w:type="pct"/>
            <w:shd w:val="clear" w:color="auto" w:fill="D9D9D9"/>
          </w:tcPr>
          <w:p w14:paraId="2AB0DFC8"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267315C0" w14:textId="77777777" w:rsidTr="00772BD8">
        <w:trPr>
          <w:trHeight w:val="2013"/>
        </w:trPr>
        <w:tc>
          <w:tcPr>
            <w:tcW w:w="729" w:type="pct"/>
            <w:shd w:val="clear" w:color="auto" w:fill="auto"/>
          </w:tcPr>
          <w:p w14:paraId="4A770A33" w14:textId="77777777" w:rsidR="006949F0" w:rsidRPr="00211ED7" w:rsidRDefault="006949F0" w:rsidP="00772BD8">
            <w:pPr>
              <w:rPr>
                <w:rFonts w:ascii="Arial" w:hAnsi="Arial" w:cs="Arial"/>
                <w:sz w:val="18"/>
                <w:szCs w:val="18"/>
              </w:rPr>
            </w:pPr>
            <w:r>
              <w:rPr>
                <w:rFonts w:ascii="Arial" w:hAnsi="Arial" w:cs="Arial"/>
                <w:sz w:val="18"/>
                <w:szCs w:val="18"/>
              </w:rPr>
              <w:t>Nazwa wskaźnika</w:t>
            </w:r>
          </w:p>
        </w:tc>
        <w:tc>
          <w:tcPr>
            <w:tcW w:w="639" w:type="pct"/>
            <w:shd w:val="clear" w:color="auto" w:fill="auto"/>
          </w:tcPr>
          <w:p w14:paraId="53CF108E" w14:textId="77777777" w:rsidR="006949F0" w:rsidRPr="00211ED7" w:rsidRDefault="006949F0" w:rsidP="00772BD8">
            <w:pPr>
              <w:rPr>
                <w:rFonts w:ascii="Arial" w:hAnsi="Arial" w:cs="Arial"/>
                <w:sz w:val="18"/>
                <w:szCs w:val="18"/>
              </w:rPr>
            </w:pPr>
            <w:r>
              <w:rPr>
                <w:rFonts w:ascii="Arial" w:hAnsi="Arial" w:cs="Arial"/>
                <w:sz w:val="18"/>
                <w:szCs w:val="18"/>
              </w:rPr>
              <w:t>tekstowe</w:t>
            </w:r>
          </w:p>
        </w:tc>
        <w:tc>
          <w:tcPr>
            <w:tcW w:w="3632" w:type="pct"/>
            <w:shd w:val="clear" w:color="auto" w:fill="auto"/>
          </w:tcPr>
          <w:p w14:paraId="49BB031C"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6C1530E8" w14:textId="77777777" w:rsidTr="00233CCD">
        <w:trPr>
          <w:trHeight w:val="550"/>
        </w:trPr>
        <w:tc>
          <w:tcPr>
            <w:tcW w:w="729" w:type="pct"/>
            <w:shd w:val="clear" w:color="auto" w:fill="auto"/>
          </w:tcPr>
          <w:p w14:paraId="281632A7" w14:textId="77777777" w:rsidR="006949F0" w:rsidRPr="00211ED7" w:rsidRDefault="006949F0" w:rsidP="00772BD8">
            <w:pPr>
              <w:rPr>
                <w:rFonts w:ascii="Arial" w:hAnsi="Arial" w:cs="Arial"/>
                <w:sz w:val="18"/>
                <w:szCs w:val="18"/>
              </w:rPr>
            </w:pPr>
            <w:r>
              <w:rPr>
                <w:rFonts w:ascii="Arial" w:hAnsi="Arial" w:cs="Arial"/>
                <w:sz w:val="18"/>
                <w:szCs w:val="18"/>
              </w:rPr>
              <w:t>Jednostka</w:t>
            </w:r>
          </w:p>
        </w:tc>
        <w:tc>
          <w:tcPr>
            <w:tcW w:w="639" w:type="pct"/>
            <w:shd w:val="clear" w:color="auto" w:fill="auto"/>
          </w:tcPr>
          <w:p w14:paraId="76A20A94" w14:textId="77777777" w:rsidR="006949F0" w:rsidRPr="00211ED7" w:rsidRDefault="006949F0" w:rsidP="00772BD8">
            <w:pPr>
              <w:rPr>
                <w:rFonts w:ascii="Arial" w:hAnsi="Arial" w:cs="Arial"/>
                <w:sz w:val="18"/>
                <w:szCs w:val="18"/>
              </w:rPr>
            </w:pPr>
            <w:r>
              <w:rPr>
                <w:rFonts w:ascii="Arial" w:hAnsi="Arial" w:cs="Arial"/>
                <w:sz w:val="18"/>
                <w:szCs w:val="18"/>
              </w:rPr>
              <w:t>Jednostka miary</w:t>
            </w:r>
          </w:p>
        </w:tc>
        <w:tc>
          <w:tcPr>
            <w:tcW w:w="3632" w:type="pct"/>
            <w:shd w:val="clear" w:color="auto" w:fill="auto"/>
          </w:tcPr>
          <w:p w14:paraId="417CCEC5"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p>
        </w:tc>
      </w:tr>
      <w:tr w:rsidR="006949F0" w:rsidRPr="00211ED7" w14:paraId="55FC1A3F" w14:textId="77777777" w:rsidTr="00772BD8">
        <w:tc>
          <w:tcPr>
            <w:tcW w:w="729" w:type="pct"/>
            <w:shd w:val="clear" w:color="auto" w:fill="auto"/>
          </w:tcPr>
          <w:p w14:paraId="04023037" w14:textId="77777777" w:rsidR="006949F0" w:rsidRDefault="006949F0" w:rsidP="00772BD8">
            <w:pPr>
              <w:rPr>
                <w:rFonts w:ascii="Arial" w:hAnsi="Arial" w:cs="Arial"/>
                <w:sz w:val="18"/>
                <w:szCs w:val="18"/>
              </w:rPr>
            </w:pPr>
            <w:r>
              <w:rPr>
                <w:rFonts w:ascii="Arial" w:hAnsi="Arial" w:cs="Arial"/>
                <w:sz w:val="18"/>
                <w:szCs w:val="18"/>
              </w:rPr>
              <w:t>Wartość docelowa</w:t>
            </w:r>
          </w:p>
        </w:tc>
        <w:tc>
          <w:tcPr>
            <w:tcW w:w="639" w:type="pct"/>
            <w:shd w:val="clear" w:color="auto" w:fill="auto"/>
          </w:tcPr>
          <w:p w14:paraId="6300723D" w14:textId="77777777" w:rsidR="006949F0" w:rsidRPr="00211ED7" w:rsidRDefault="00772BD8" w:rsidP="00772BD8">
            <w:pPr>
              <w:rPr>
                <w:rFonts w:ascii="Arial" w:hAnsi="Arial" w:cs="Arial"/>
                <w:sz w:val="18"/>
                <w:szCs w:val="18"/>
              </w:rPr>
            </w:pPr>
            <w:r>
              <w:rPr>
                <w:rFonts w:ascii="Arial" w:hAnsi="Arial" w:cs="Arial"/>
                <w:sz w:val="18"/>
                <w:szCs w:val="18"/>
              </w:rPr>
              <w:t>Wartość</w:t>
            </w:r>
          </w:p>
        </w:tc>
        <w:tc>
          <w:tcPr>
            <w:tcW w:w="3632" w:type="pct"/>
            <w:shd w:val="clear" w:color="auto" w:fill="auto"/>
          </w:tcPr>
          <w:p w14:paraId="232B7A35"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wartości jaka zosta</w:t>
            </w:r>
            <w:r w:rsidR="004F611B">
              <w:rPr>
                <w:rFonts w:ascii="Arial" w:hAnsi="Arial" w:cs="Arial"/>
                <w:sz w:val="18"/>
                <w:szCs w:val="18"/>
              </w:rPr>
              <w:t>nie osiągnięta w roku docelowym</w:t>
            </w:r>
          </w:p>
        </w:tc>
      </w:tr>
      <w:tr w:rsidR="006949F0" w:rsidRPr="00211ED7" w14:paraId="35FCBF45" w14:textId="77777777" w:rsidTr="00772BD8">
        <w:tc>
          <w:tcPr>
            <w:tcW w:w="729" w:type="pct"/>
            <w:shd w:val="clear" w:color="auto" w:fill="auto"/>
          </w:tcPr>
          <w:p w14:paraId="4387B84E" w14:textId="77777777" w:rsidR="006949F0" w:rsidRDefault="006949F0" w:rsidP="00772BD8">
            <w:pPr>
              <w:rPr>
                <w:rFonts w:ascii="Arial" w:hAnsi="Arial" w:cs="Arial"/>
                <w:sz w:val="18"/>
                <w:szCs w:val="18"/>
              </w:rPr>
            </w:pPr>
            <w:r>
              <w:rPr>
                <w:rFonts w:ascii="Arial" w:hAnsi="Arial" w:cs="Arial"/>
                <w:sz w:val="18"/>
                <w:szCs w:val="18"/>
              </w:rPr>
              <w:t>Rok docelowy</w:t>
            </w:r>
          </w:p>
        </w:tc>
        <w:tc>
          <w:tcPr>
            <w:tcW w:w="639" w:type="pct"/>
            <w:shd w:val="clear" w:color="auto" w:fill="auto"/>
          </w:tcPr>
          <w:p w14:paraId="48B664DF" w14:textId="77777777" w:rsidR="006949F0" w:rsidRPr="00211ED7" w:rsidRDefault="006949F0" w:rsidP="00772BD8">
            <w:pPr>
              <w:rPr>
                <w:rFonts w:ascii="Arial" w:hAnsi="Arial" w:cs="Arial"/>
                <w:sz w:val="18"/>
                <w:szCs w:val="18"/>
              </w:rPr>
            </w:pPr>
            <w:r>
              <w:rPr>
                <w:rFonts w:ascii="Arial" w:hAnsi="Arial" w:cs="Arial"/>
                <w:sz w:val="18"/>
                <w:szCs w:val="18"/>
              </w:rPr>
              <w:t>Data</w:t>
            </w:r>
          </w:p>
        </w:tc>
        <w:tc>
          <w:tcPr>
            <w:tcW w:w="3632" w:type="pct"/>
            <w:shd w:val="clear" w:color="auto" w:fill="auto"/>
          </w:tcPr>
          <w:p w14:paraId="1848A55E"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Pr>
                <w:rFonts w:ascii="Arial" w:hAnsi="Arial" w:cs="Arial"/>
                <w:sz w:val="18"/>
                <w:szCs w:val="18"/>
              </w:rPr>
              <w:t>końcowa data realizacji projektu</w:t>
            </w:r>
          </w:p>
        </w:tc>
      </w:tr>
    </w:tbl>
    <w:p w14:paraId="3C4295C7" w14:textId="77777777" w:rsidR="006949F0" w:rsidRPr="001822F5" w:rsidRDefault="006949F0" w:rsidP="00233CCD">
      <w:pPr>
        <w:rPr>
          <w:rFonts w:ascii="Arial" w:hAnsi="Arial" w:cs="Arial"/>
          <w:sz w:val="20"/>
          <w:szCs w:val="20"/>
        </w:rPr>
      </w:pPr>
    </w:p>
    <w:sectPr w:rsidR="006949F0" w:rsidRPr="001822F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F1AB8" w14:textId="77777777" w:rsidR="00A8286B" w:rsidRDefault="00A8286B" w:rsidP="00F97A72">
      <w:pPr>
        <w:spacing w:after="0" w:line="240" w:lineRule="auto"/>
      </w:pPr>
      <w:r>
        <w:separator/>
      </w:r>
    </w:p>
  </w:endnote>
  <w:endnote w:type="continuationSeparator" w:id="0">
    <w:p w14:paraId="5C4787BF" w14:textId="77777777" w:rsidR="00A8286B" w:rsidRDefault="00A8286B"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33434" w14:textId="77777777" w:rsidR="00A8286B" w:rsidRDefault="00A8286B" w:rsidP="00F97A72">
      <w:pPr>
        <w:spacing w:after="0" w:line="240" w:lineRule="auto"/>
      </w:pPr>
      <w:r>
        <w:separator/>
      </w:r>
    </w:p>
  </w:footnote>
  <w:footnote w:type="continuationSeparator" w:id="0">
    <w:p w14:paraId="0D4CAB52" w14:textId="77777777" w:rsidR="00A8286B" w:rsidRDefault="00A8286B" w:rsidP="00F97A72">
      <w:pPr>
        <w:spacing w:after="0" w:line="240" w:lineRule="auto"/>
      </w:pPr>
      <w:r>
        <w:continuationSeparator/>
      </w:r>
    </w:p>
  </w:footnote>
  <w:footnote w:id="1">
    <w:p w14:paraId="45E2EA24"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2D3D47D0"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8C9BD" w14:textId="77777777" w:rsidR="00F97A72" w:rsidRDefault="00F97A72" w:rsidP="00F97A72">
    <w:pPr>
      <w:pStyle w:val="Nagwek"/>
    </w:pPr>
    <w:r>
      <w:t xml:space="preserve">Wniosek o dofinansowanie dla Programu Fundusze Europejskie na Infrastrukturę, Klimat, Środowisko 2021-2027 </w:t>
    </w:r>
  </w:p>
  <w:p w14:paraId="37C0225D" w14:textId="77777777" w:rsidR="00F97A72" w:rsidRDefault="00F97A72">
    <w:pPr>
      <w:pStyle w:val="Nagwek"/>
    </w:pPr>
    <w:r>
      <w:t>Załącznik 5. 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370759545">
    <w:abstractNumId w:val="5"/>
  </w:num>
  <w:num w:numId="2" w16cid:durableId="1183743036">
    <w:abstractNumId w:val="6"/>
  </w:num>
  <w:num w:numId="3" w16cid:durableId="1666737951">
    <w:abstractNumId w:val="4"/>
  </w:num>
  <w:num w:numId="4" w16cid:durableId="1608346646">
    <w:abstractNumId w:val="8"/>
  </w:num>
  <w:num w:numId="5" w16cid:durableId="1729839408">
    <w:abstractNumId w:val="7"/>
  </w:num>
  <w:num w:numId="6" w16cid:durableId="18820168">
    <w:abstractNumId w:val="1"/>
  </w:num>
  <w:num w:numId="10" w16cid:durableId="608586645">
    <w:abstractNumId w:val="0"/>
  </w:num>
  <w:num w:numId="11" w16cid:durableId="14538165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49F0"/>
    <w:rsid w:val="00021658"/>
    <w:rsid w:val="00021D6C"/>
    <w:rsid w:val="000500D2"/>
    <w:rsid w:val="00065A11"/>
    <w:rsid w:val="00065C77"/>
    <w:rsid w:val="00082ED6"/>
    <w:rsid w:val="00084EC9"/>
    <w:rsid w:val="000A7D7A"/>
    <w:rsid w:val="000E4DFF"/>
    <w:rsid w:val="00156963"/>
    <w:rsid w:val="001822F5"/>
    <w:rsid w:val="00193E35"/>
    <w:rsid w:val="001D659C"/>
    <w:rsid w:val="001E1A62"/>
    <w:rsid w:val="001F5B07"/>
    <w:rsid w:val="00226220"/>
    <w:rsid w:val="00233CCD"/>
    <w:rsid w:val="00253EFB"/>
    <w:rsid w:val="002C528D"/>
    <w:rsid w:val="002E21CA"/>
    <w:rsid w:val="002F2D5A"/>
    <w:rsid w:val="00341A61"/>
    <w:rsid w:val="00346D57"/>
    <w:rsid w:val="003960C0"/>
    <w:rsid w:val="003C792B"/>
    <w:rsid w:val="003E18E3"/>
    <w:rsid w:val="0040679C"/>
    <w:rsid w:val="004168B7"/>
    <w:rsid w:val="004223DC"/>
    <w:rsid w:val="00424F57"/>
    <w:rsid w:val="004B2A1D"/>
    <w:rsid w:val="004D0132"/>
    <w:rsid w:val="004F611B"/>
    <w:rsid w:val="00501920"/>
    <w:rsid w:val="005136DB"/>
    <w:rsid w:val="0058413E"/>
    <w:rsid w:val="005905D2"/>
    <w:rsid w:val="00593D86"/>
    <w:rsid w:val="00594E78"/>
    <w:rsid w:val="005C049E"/>
    <w:rsid w:val="005F1203"/>
    <w:rsid w:val="0060544E"/>
    <w:rsid w:val="0063175C"/>
    <w:rsid w:val="00633649"/>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759A"/>
    <w:rsid w:val="00874ACE"/>
    <w:rsid w:val="0089344A"/>
    <w:rsid w:val="008A72FE"/>
    <w:rsid w:val="009155FC"/>
    <w:rsid w:val="00935D6B"/>
    <w:rsid w:val="00942395"/>
    <w:rsid w:val="00984D97"/>
    <w:rsid w:val="009A4FFF"/>
    <w:rsid w:val="009C2B8B"/>
    <w:rsid w:val="009E26B0"/>
    <w:rsid w:val="00A03C70"/>
    <w:rsid w:val="00A072C8"/>
    <w:rsid w:val="00A32F6A"/>
    <w:rsid w:val="00A52255"/>
    <w:rsid w:val="00A8286B"/>
    <w:rsid w:val="00AA4DF1"/>
    <w:rsid w:val="00AB632C"/>
    <w:rsid w:val="00AD07E1"/>
    <w:rsid w:val="00B01A6E"/>
    <w:rsid w:val="00B03328"/>
    <w:rsid w:val="00B321C1"/>
    <w:rsid w:val="00B35C67"/>
    <w:rsid w:val="00B519D2"/>
    <w:rsid w:val="00B552CD"/>
    <w:rsid w:val="00B60C6B"/>
    <w:rsid w:val="00B87418"/>
    <w:rsid w:val="00BF68B6"/>
    <w:rsid w:val="00C16BD2"/>
    <w:rsid w:val="00C37C4A"/>
    <w:rsid w:val="00C73C1D"/>
    <w:rsid w:val="00C81736"/>
    <w:rsid w:val="00CA1259"/>
    <w:rsid w:val="00D02839"/>
    <w:rsid w:val="00D57CCA"/>
    <w:rsid w:val="00DB5840"/>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224181"/>
  <w15:chartTrackingRefBased/>
  <w15:docId w15:val="{DDCF654A-F175-414C-92D6-A0D9FED3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75ED-FDB8-42A3-8D82-74FC52D8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1058</Words>
  <Characters>6351</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7395</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Maksimowska Barbara</cp:lastModifiedBy>
  <cp:revision>2</cp:revision>
  <dcterms:created xsi:type="dcterms:W3CDTF">2024-10-09T12:36:00Z</dcterms:created>
  <dcterms:modified xsi:type="dcterms:W3CDTF">2024-10-09T12:36:00Z</dcterms:modified>
</cp:coreProperties>
</file>